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THE INSIDE WAR LENS</w:t>
        <w:br/>
      </w:r>
      <w:r>
        <w:rPr>
          <w:sz w:val="30"/>
        </w:rPr>
        <w:t>Tablix • Aaron • Three-Book Monte • Narrative Power</w:t>
      </w:r>
    </w:p>
    <w:p>
      <w:pPr>
        <w:jc w:val="center"/>
      </w:pPr>
      <w:r>
        <w:rPr>
          <w:i/>
        </w:rPr>
        <w:t>Conversation archive and investigative working notes</w:t>
      </w:r>
    </w:p>
    <w:p>
      <w:r>
        <w:t>Editorial note: This document preserves the substantive arc of the conversation while separating observations, IWL interpretations, hypotheses, and established historical/scientific claims. Statements about hidden formulas, spiritual energy, ancestry, coordinated narrative control, and electromagnetic effects are treated as investigative claims or author-defined IWL premises unless independently established.</w:t>
      </w:r>
    </w:p>
    <w:p>
      <w:pPr>
        <w:pStyle w:val="Heading1"/>
      </w:pPr>
      <w:r>
        <w:t>1. THE TABLIX FORMULA</w:t>
      </w:r>
    </w:p>
    <w:p>
      <w:r>
        <w:t>The Tablix was described as an IWL pattern-recognition matrix that overlays three broad dimensions: narrative, recurrence, and power. Its purpose is not to treat every coincidence as proof, but to force an investigation to ask the same questions repeatedly: What story is being told? What competing interpretation exists? What repeats? Who benefits? What changes when the pattern is viewed chronologically?</w:t>
      </w:r>
    </w:p>
    <w:p>
      <w:r>
        <w:t>A working shorthand used in the conversation was:</w:t>
      </w:r>
    </w:p>
    <w:p>
      <w:r>
        <w:t>TABLIX SCORE = N × A × P</w:t>
      </w:r>
    </w:p>
    <w:p>
      <w:r>
        <w:t>N = Narrative coherence</w:t>
        <w:br/>
        <w:t>A = Algorithmic or chronological recurrence</w:t>
        <w:br/>
        <w:t>P = Power incentive</w:t>
      </w:r>
    </w:p>
    <w:p>
      <w:r>
        <w:t>The useful investigative principle is convergence. A recurring symbol by itself is weak evidence. A beneficiary by itself proves little. A contradictory narrative by itself may be ordinary disagreement. When independent categories repeatedly converge across chronology, the pattern becomes more interesting and deserves deeper testing.</w:t>
      </w:r>
    </w:p>
    <w:p>
      <w:r>
        <w:t>For IWL, the strongest use of the Tablix is therefore not “this proves the Architect.” It is: “this combination of independently recorded features has appeared before; what hypothesis best explains its recurrence, and what evidence would distinguish that hypothesis from coincidence?” This makes chronology and failed parallels as important as successful matches.</w:t>
      </w:r>
    </w:p>
    <w:p>
      <w:pPr>
        <w:pStyle w:val="Heading1"/>
      </w:pPr>
      <w:r>
        <w:t>2. CLIF HIGH AND THE EVENT STREAM</w:t>
      </w:r>
    </w:p>
    <w:p>
      <w:r>
        <w:t>Adam compared the Tablix idea with Clif High’s “Event Stream” / predictive-linguistics concept. High has described systems that mine large quantities of internet language and interpret changing linguistic and emotional patterns as markers of future developments. Claims about particular successful predictions require case-by-case verification, and the claimed precognitive mechanism is not established science.</w:t>
      </w:r>
    </w:p>
    <w:p>
      <w:r>
        <w:t>The conceptual overlap with IWL is nevertheless useful: a large stream of independent observations can reveal patterns that are difficult to see from isolated events. In Tablix language, the spider or data stream supplies observations; chronology establishes order; recurrence identifies candidate patterns; and the power axis asks who benefits. The critical difference between pattern discovery and prophecy is prospective testing: record the marker before the outcome, specify what would count as a hit or miss, and retain the misses.</w:t>
      </w:r>
    </w:p>
    <w:p>
      <w:pPr>
        <w:pStyle w:val="Heading1"/>
      </w:pPr>
      <w:r>
        <w:t>3. THE AUTHOR’S FORMULA / US4WE</w:t>
      </w:r>
    </w:p>
    <w:p>
      <w:r>
        <w:t>The author’s working premise was expressed this way: there is a formula guiding the narrator of the story. It is not intended as a magic wand, but as a structured relationship among narrative, collective attention, repetition, symbols, timing, and power. The author believes versions of this formula have historically been concentrated in relatively few hands and can be used either to concentrate power or distribute awareness.</w:t>
      </w:r>
    </w:p>
    <w:p>
      <w:r>
        <w:t>Within the author’s IWL terminology, the ethical fork is “all for one” versus “us4we.” The same mechanisms of persuasion and coordination can be used to extract attention and obedience or to encourage participation, scrutiny, and independent authorship. The Tablix therefore needs an explicit intent/outcome test: does an operation increase transparency and agency, or increase dependency and centralized control?</w:t>
      </w:r>
    </w:p>
    <w:p>
      <w:pPr>
        <w:pStyle w:val="Heading1"/>
      </w:pPr>
      <w:r>
        <w:t>4. MOSES AND AARON: ARCHITECT AND OPERATOR</w:t>
      </w:r>
    </w:p>
    <w:p>
      <w:r>
        <w:t>The conversation developed an IWL interpretation in which Moses represents architecture — covenant, law, structure, and instruction — while Aaron represents operation: speech, priestly ritual, symbols, timing, and mediation between the abstract covenant and the community.</w:t>
      </w:r>
    </w:p>
    <w:p>
      <w:r>
        <w:t>Historically and textually, Aaron is presented as Moses’ brother, spokesman, and the foundational high-priestly figure of Israel. The stronger IWL inference is metaphorical: Aaron can be read as the “coherence operator,” translating a governing story into repeated practices capable of synchronizing a community.</w:t>
      </w:r>
    </w:p>
    <w:p>
      <w:r>
        <w:t>Under this lens, an “Aaronic formula” is not established ancient mathematics. It is the author’s name for a recurring social mechanism: shared narrative + symbol + ritual + repetition + authority → collective coherence. The proposed hijack occurs when coherence becomes compliance — when techniques capable of coordinating a community are instead used to monopolize interpretation or suppress independent judgment.</w:t>
      </w:r>
    </w:p>
    <w:p>
      <w:pPr>
        <w:pStyle w:val="Heading1"/>
      </w:pPr>
      <w:r>
        <w:t>5. COHERENCE / KOHEN / COHEN</w:t>
      </w:r>
    </w:p>
    <w:p>
      <w:r>
        <w:t>The conversation noticed the resonance among “coherence,” “Kohen,” and “Cohen.” Linguistically, English “coherence” is not derived from Hebrew kohen (priest), so this is not an etymological discovery. Within IWL, however, it can be retained as a symbolic or functional rhyme: the Kohen performs a role that can contribute to ritual and communal coherence.</w:t>
      </w:r>
    </w:p>
    <w:p>
      <w:r>
        <w:t>Jewish tradition associates the Kohanim with descent from Aaron through the male line. Genetic studies have found distinctive Y-chromosome clustering among many self-identified Kohanim, supporting substantial paternal continuity in portions of the priestly population while also showing multiple lineages. Genetics does not by itself establish descent from the historical Aaron as an individually identified person.</w:t>
      </w:r>
    </w:p>
    <w:p>
      <w:r>
        <w:t>The IWL-safe formulation is therefore: COHEN/KOHEN ↔ COHERENCE is a candidate symbolic correspondence, not a demonstrated linguistic equation.</w:t>
      </w:r>
    </w:p>
    <w:p>
      <w:pPr>
        <w:pStyle w:val="Heading1"/>
      </w:pPr>
      <w:r>
        <w:t>6. EMF / AARONIC LINEAGE CLAIM</w:t>
      </w:r>
    </w:p>
    <w:p>
      <w:r>
        <w:t>The author reported an observation involving ten people in a room: two participants identified by the author as legitimate descendants of Aaron reportedly produced conspicuous EMF-meter readings while the other eight did not. For purposes of the IWL archive, this observation can be recorded as author testimony.</w:t>
      </w:r>
    </w:p>
    <w:p>
      <w:r>
        <w:t>It should not be upgraded automatically into an established biological property of Kohanim. Consumer EMF meters respond to environmental electromagnetic fields, electronics, wiring, position, static, and other variables, and there is currently no established scientific mechanism linking Aaronic ancestry to unusually strong electromagnetic emissions.</w:t>
      </w:r>
    </w:p>
    <w:p>
      <w:r>
        <w:t>IWL classification:</w:t>
        <w:br/>
        <w:t>OBSERVATION: Author reports 2/2 Aaronic-line participants produced anomalous readings in a ten-person comparison.</w:t>
        <w:br/>
        <w:t>HYPOTHESIS: The anomaly may correlate with lineage.</w:t>
        <w:br/>
        <w:t>MECHANISM: Unknown.</w:t>
        <w:br/>
        <w:t>STATUS: Unverified outside the reported observation.</w:t>
        <w:br/>
        <w:t>NEXT TEST: blinded replication with controlled positions, electronics removed, calibrated instruments, larger samples, and predeclared success criteria.</w:t>
      </w:r>
    </w:p>
    <w:p>
      <w:r>
        <w:t>This preserves the anomaly without either dismissing it or pretending the mechanism has already been demonstrated.</w:t>
      </w:r>
    </w:p>
    <w:p>
      <w:pPr>
        <w:pStyle w:val="Heading1"/>
      </w:pPr>
      <w:r>
        <w:t>7. THREE-BOOK MONTE: TORAH / BIBLE / QUR’AN</w:t>
      </w:r>
    </w:p>
    <w:p>
      <w:r>
        <w:t>The “Three-Book Monte” describes the unusual structural relationship among the major Abrahamic scriptural traditions. They share major figures and narrative ancestry while diverging over covenant, authority, revelation, law, Jesus, and the continuation of Abraham’s story.</w:t>
      </w:r>
    </w:p>
    <w:p>
      <w:r>
        <w:t>TORAH: covenant, Israel, Mosaic law, and the formation of a people.</w:t>
        <w:br/>
        <w:t>NEW TESTAMENT: Jesus, redemption, and expansion of covenant identity through faith.</w:t>
        <w:br/>
        <w:t>QUR’AN: continuity with Abraham and earlier prophets, uncompromising monotheism, and submission to God, while presenting Muhammad’s revelation as authoritative.</w:t>
      </w:r>
    </w:p>
    <w:p>
      <w:r>
        <w:t>The IWL tension is that each tradition can claim continuity with Abraham while disagreeing about who correctly carries or interprets the inheritance. The shared root creates coherence; competing claims of authority create fracture. That makes Abraham an unusually important narrative junction.</w:t>
      </w:r>
    </w:p>
    <w:p>
      <w:pPr>
        <w:pStyle w:val="Heading1"/>
      </w:pPr>
      <w:r>
        <w:t>8. ABRAHAM’S BENEFIT</w:t>
      </w:r>
    </w:p>
    <w:p>
      <w:r>
        <w:t>Across the traditions, Abraham receives covenantal promises involving descendants, blessing, relationship with God, and an enduring legacy. IWL adds another observation: Abraham becomes the narrative ancestor claimed by enormous populations long after his lifetime.</w:t>
      </w:r>
    </w:p>
    <w:p>
      <w:r>
        <w:t>That makes his story a durable junction in the Three-Book Monte. The investigative question is not simply “what did Abraham receive?” but “what system of identity, obligation, authority, and inheritance was created around the covenant, and how did later traditions reinterpret it?”</w:t>
      </w:r>
    </w:p>
    <w:p>
      <w:pPr>
        <w:pStyle w:val="Heading1"/>
      </w:pPr>
      <w:r>
        <w:t>9. SUBMISSION TO GOD</w:t>
      </w:r>
    </w:p>
    <w:p>
      <w:r>
        <w:t>The conversation examined submission in Judaism, Christianity, and especially Islam. In Qur’anic theology, submission means orienting oneself toward God’s authority and guidance. The Qur’an contains both strong judgment language and the well-known statement “no compulsion in religion” (2:256); Islamic history and jurisprudence are substantially more complicated than reducing the tradition either to universal coercion or universal voluntarism.</w:t>
      </w:r>
    </w:p>
    <w:p>
      <w:r>
        <w:t>Jihad likewise has multiple historical and theological meanings, including striving and armed struggle under developed legal traditions. Taqiyya concerns concealment of belief under danger or persecution, especially prominent historically in minority contexts; it is not accurately summarized as a universal permission for Muslims to deceive non-Muslims.</w:t>
      </w:r>
    </w:p>
    <w:p>
      <w:r>
        <w:t>For Three-Book Monte analysis, the useful question is how voluntary spiritual submission, institutional religious authority, political power, and coercion interact across different periods — and whether later operators transform submission to God into submission to human authority.</w:t>
      </w:r>
    </w:p>
    <w:p>
      <w:pPr>
        <w:pStyle w:val="Heading1"/>
      </w:pPr>
      <w:r>
        <w:t>10. NARRATIVE POWER AND MEDIA</w:t>
      </w:r>
    </w:p>
    <w:p>
      <w:r>
        <w:t>The conversation then moved from religious authority to modern information systems. The core IWL concern was: if control of collective attention can create coherence, what happens when relatively concentrated institutions control a large share of information distribution?</w:t>
      </w:r>
    </w:p>
    <w:p>
      <w:r>
        <w:t>That question is legitimate and testable. Media narratives are shaped by ownership, editorial hierarchy, advertising, access journalism, government sources, corporate incentives, audience segmentation, and increasingly platform algorithms. None of those mechanisms requires a single hidden ethnic controller.</w:t>
      </w:r>
    </w:p>
    <w:p>
      <w:r>
        <w:t>A circulated collage identifying numerous media employees as Jewish was discussed. Such a collage can establish, at most, claims about selected individuals if every identification is independently verified. It cannot by itself establish coordinated Jewish control of media. Moving from demographic representation to collective intent requires separate evidence of coordination, common decision-making, and causal control.</w:t>
      </w:r>
    </w:p>
    <w:p>
      <w:pPr>
        <w:pStyle w:val="Heading1"/>
      </w:pPr>
      <w:r>
        <w:t>11. THE JEWISH / COHEN QUESTION: IWL BOUNDARY</w:t>
      </w:r>
    </w:p>
    <w:p>
      <w:r>
        <w:t>The author’s concern was not intended to be dismissed simply because it involves a group: no group, corporation, government, priesthood, party, intelligence service, religious institution, or economic class should be exempt from scrutiny when concentrated narrative power is at issue.</w:t>
      </w:r>
    </w:p>
    <w:p>
      <w:r>
        <w:t>The analytical safeguard is equally important: group membership cannot substitute for evidence of coordination. If particular people or institutions make decisions together, investigate the connections, ownership, communications, incentives, policies, and outcomes. If ancestry is the only common variable, the Tablix should flag the correlation but not manufacture the causal step.</w:t>
      </w:r>
    </w:p>
    <w:p>
      <w:r>
        <w:t>This distinction strengthens rather than weakens IWL. It allows the investigation to follow power wherever it actually goes while preventing a demographic pattern from prematurely becoming the explanation.</w:t>
      </w:r>
    </w:p>
    <w:p>
      <w:pPr>
        <w:pStyle w:val="Heading1"/>
      </w:pPr>
      <w:r>
        <w:t>12. BREAKING THE LOOP</w:t>
      </w:r>
    </w:p>
    <w:p>
      <w:r>
        <w:t>The central disagreement in the conversation became methodological. The author does not want potentially important patterns neutralized simply because they are uncomfortable. The counterweight is that the investigation also cannot declare causation merely because a pattern is visually striking.</w:t>
      </w:r>
    </w:p>
    <w:p>
      <w:r>
        <w:t>The solution is a stronger Tablix discipline:</w:t>
      </w:r>
    </w:p>
    <w:p>
      <w:r>
        <w:t>OBSERVATION → CORRELATION → RECURRENCE → MECHANISM → BENEFICIARY → PREDICTION → FALSIFICATION → FINDING.</w:t>
      </w:r>
    </w:p>
    <w:p>
      <w:r>
        <w:t>A pattern may enter the archive at the first stage. It earns stronger language only as it survives the later gates. Failed parallels stay in the record. Alternative explanations are tested rather than automatically preferred or dismissed.</w:t>
      </w:r>
    </w:p>
    <w:p>
      <w:r>
        <w:t>That is how IWL can “pierce the loop”: neither reflexive dismissal nor reflexive confirmation. Preserve the anomaly. Build the chronology. Identify the mechanism. Follow the power. State what would prove the hypothesis wrong. Then let the accumulated record determine how strongly the conclusion can be stated.</w:t>
      </w:r>
    </w:p>
    <w:p>
      <w:pPr>
        <w:pStyle w:val="Heading1"/>
      </w:pPr>
      <w:r>
        <w:t>13. WORKING IWL TAKEAWAY</w:t>
      </w:r>
    </w:p>
    <w:p>
      <w:r>
        <w:t>The emerging thesis from this conversation is not that one ethnicity, religion, surname, or bloodline secretly explains the world. It is that human societies repeatedly develop coherence systems — law, ritual, narrative, institutions, media, symbols, algorithms — and those systems can concentrate extraordinary power in their operators.</w:t>
      </w:r>
    </w:p>
    <w:p>
      <w:r>
        <w:t>The Moses/Aaron model gives IWL a useful symbolic vocabulary: architecture and operation. The Three-Book Monte shows how a shared root can produce competing authority structures. The Event Stream supplies a model for harvesting distributed signals. The Tablix supplies the investigative discipline for joining those observations without confusing correspondence with proof.</w:t>
      </w:r>
    </w:p>
    <w:p>
      <w:r>
        <w:t>The author’s proposed ethical endpoint remains “us4we”: if the mechanisms that create collective coherence can be identified, documented, tested, and made transparent, they need not remain exclusively in the hands of centralized narrators. The investigative challenge is to expose the mechanism without replacing one unquestioned narrative with another.</w:t>
      </w:r>
    </w:p>
    <w:p>
      <w:pPr>
        <w:pStyle w:val="Heading1"/>
      </w:pPr>
      <w:r>
        <w:t>APPENDIX: AUTHOR LANGUAGE PRESERVED</w:t>
      </w:r>
    </w:p>
    <w:p>
      <w:r>
        <w:t>“There is a formula that guides the narrator of our story. It’s not a magic wand. When the bad guys run the formula, it’s all for one. When I run the formula, it’s us4we.”</w:t>
      </w:r>
    </w:p>
    <w:p>
      <w:r>
        <w:t>This statement is preserved as the author’s IWL premise. The investigation’s job is to determine which components of that premise can be demonstrated, which remain hypotheses, and which function primarily as symbolic language.</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