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THE INSIDE WAR</w:t>
        <w:br/>
        <w:t>POLITICAL &amp; RELIGIOUS INVESTIGATIONS</w:t>
      </w:r>
    </w:p>
    <w:p>
      <w:pPr>
        <w:jc w:val="center"/>
      </w:pPr>
      <w:r>
        <w:rPr>
          <w:i/>
        </w:rPr>
        <w:t>Website Master • Investigative Dossier • September 2026</w:t>
      </w:r>
    </w:p>
    <w:p>
      <w:pPr>
        <w:pStyle w:val="Heading1"/>
      </w:pPr>
      <w:r>
        <w:t>Editorial Standard</w:t>
      </w:r>
    </w:p>
    <w:p>
      <w:r>
        <w:t>This dossier collects political and religious threads developed inside The Inside War (IWL) investigation. It is designed for website publication, not as a declaration that every proposed connection is true. The governing rule is: chronology before memory; artifact before theory; history before symbolism; questions before conclusions.</w:t>
      </w:r>
    </w:p>
    <w:p>
      <w:r>
        <w:t>Each topic should be published with its evidentiary status visible: ESTABLISHED FACT, DOCUMENTED SOURCE, INFERENCE, DEVELOPING HYPOTHESIS, CONTRADICTION, or SPECULATIVE / FICTIONAL EXTENSION. Similarity is not identity. Symbolic convergence is not proof of coordination.</w:t>
      </w:r>
    </w:p>
    <w:p>
      <w:pPr>
        <w:pStyle w:val="Heading1"/>
      </w:pPr>
      <w:r>
        <w:t>1. THE BIBLE AS CHRONOLOGY, NOT A SINGLE BLOCK</w:t>
      </w:r>
    </w:p>
    <w:p>
      <w:r>
        <w:t>Investigative question: What changes when biblical material is treated as a chronological library assembled across periods, authors, redactions and traditions rather than as one undifferentiated book?</w:t>
      </w:r>
    </w:p>
    <w:p>
      <w:r>
        <w:t>Website direction: construct a timeline before attempting the IWL comparison. Track creation traditions, patriarchal narratives, Exodus, kingdoms, prophets, exile, apocalyptic material, Second Temple literature, the New Testament and later canon formation. Separate composition date, setting date, manuscript evidence and canonization date.</w:t>
      </w:r>
    </w:p>
    <w:p>
      <w:r>
        <w:t>The proposed IWL test is not “does Genesis predict modern events?” It is: which recurring structures—authority, covenant, sacrifice, inheritance, blood, obedience, exile, apocalypse, sanctuary, judgment—appear independently in the ancient corpus, and which later reappear in the modern cultural corpus?</w:t>
      </w:r>
    </w:p>
    <w:p>
      <w:pPr>
        <w:pStyle w:val="Heading1"/>
      </w:pPr>
      <w:r>
        <w:t>2. THE ETHIOPIAN BIBLICAL TRADITION</w:t>
      </w:r>
    </w:p>
    <w:p>
      <w:r>
        <w:t>Investigative question: What is actually different about the Ethiopian Orthodox Tewahedo biblical tradition, and what does that change?</w:t>
      </w:r>
    </w:p>
    <w:p>
      <w:r>
        <w:t>The important avenue is its broader canon and preservation of texts or traditions not included in most Western Christian Bibles, especially material associated with Enoch and Jubilees. The website treatment should distinguish the Ethiopian canon from internet claims that it is simply an “older complete Bible.” The useful IWL question is whether its additional material changes the map of watchers, angels, forbidden knowledge, giants, judgment, calendars, covenant and cosmic conflict.</w:t>
      </w:r>
    </w:p>
    <w:p>
      <w:r>
        <w:t>Status: historical/canonical research topic. Any bridge from these texts to modern music or politics remains a separate comparison-stage hypothesis.</w:t>
      </w:r>
    </w:p>
    <w:p>
      <w:pPr>
        <w:pStyle w:val="Heading1"/>
      </w:pPr>
      <w:r>
        <w:t>3. GENESIS: THE BOOK VS. GENESIS: THE BAND</w:t>
      </w:r>
    </w:p>
    <w:p>
      <w:r>
        <w:t>This is one of the strongest controlled-comparison projects because the two corpora can first be developed independently.</w:t>
      </w:r>
    </w:p>
    <w:p>
      <w:r>
        <w:t>Track A: map Genesis-the-book without using the band to select passages. Track B: map Genesis-the-band chronologically without using scripture to force meanings. Only after both tracks are locked should the join occur.</w:t>
      </w:r>
    </w:p>
    <w:p>
      <w:r>
        <w:t>Comparison candidates already raised include creation, garden, serpent, Abraham, Sarah, covenant, sacrifice, inheritance, lamb imagery, apocalypse, sanctuary, blood and the recurring problem of who speaks with authority. Failed parallels must be logged alongside surviving parallels so the comparison cannot quietly become a catalog of cherry-picked matches.</w:t>
      </w:r>
    </w:p>
    <w:p>
      <w:pPr>
        <w:pStyle w:val="Heading1"/>
      </w:pPr>
      <w:r>
        <w:t>4. ABRAHAM, SARAH, CONTRACT &amp; INHERITANCE</w:t>
      </w:r>
    </w:p>
    <w:p>
      <w:r>
        <w:t>The IWL “Abacab” investigation developed a phonetic/symbolic possibility connecting ABACAB with Abraham / abracadabra and narrative sleight of hand. This is explicitly a hypothesis, not an etymology.</w:t>
      </w:r>
    </w:p>
    <w:p>
      <w:r>
        <w:t>The deeper thread concerns contract: covenant, promised inheritance, bloodline, possession and the price attached to promises. Sarah/Sarai and Abraham become useful not because a modern song title proves a biblical reference, but because the ancient narrative supplies a documented contract-and-inheritance structure against which later material can be tested.</w:t>
      </w:r>
    </w:p>
    <w:p>
      <w:r>
        <w:t>Guardrail: phonetic resemblance alone carries almost no evidentiary weight.</w:t>
      </w:r>
    </w:p>
    <w:p>
      <w:pPr>
        <w:pStyle w:val="Heading1"/>
      </w:pPr>
      <w:r>
        <w:t>5. LUCIFER, LILITH &amp; THE ADVERSARY PROBLEM</w:t>
      </w:r>
    </w:p>
    <w:p>
      <w:r>
        <w:t>The investigation has repeatedly asked whether later cultural characters collapse distinct traditions into one adversarial figure.</w:t>
      </w:r>
    </w:p>
    <w:p>
      <w:r>
        <w:t>Research lanes should remain separate: the Hebrew Bible’s satan/adversary language; Isaiah’s “morning star” passage and its later Lucifer tradition; New Testament Satan/Devil imagery; later Christian demonology; and Lilith traditions, including their development outside the Genesis creation narrative.</w:t>
      </w:r>
    </w:p>
    <w:p>
      <w:r>
        <w:t>IWL hypothesis lane: modern songs may use Lucifer/Lilith as shorthand for rebellion, seduction, forbidden knowledge, inversion, contract or an alternative authority. That symbolic use must not be mistaken for proof that the ancient sources describe one continuous biography.</w:t>
      </w:r>
    </w:p>
    <w:p>
      <w:pPr>
        <w:pStyle w:val="Heading1"/>
      </w:pPr>
      <w:r>
        <w:t>6. APOCALYPSE: TRUMPETS, MAGOG &amp; THE END-TIME MACHINE</w:t>
      </w:r>
    </w:p>
    <w:p>
      <w:r>
        <w:t>The project has repeatedly returned to apocalyptic structures: trumpets, beasts, war, destruction, false authority, judgment and sanctuary.</w:t>
      </w:r>
    </w:p>
    <w:p>
      <w:r>
        <w:t>The “seven trumpets” and Gog/Magog/Magog-like political language should be researched in their actual textual contexts before modern names or movements are overlaid. Similar-sounding contemporary terms are leads to test, not evidence.</w:t>
      </w:r>
    </w:p>
    <w:p>
      <w:r>
        <w:t>The website can make this powerful by showing three columns: ancient text; documented modern artifact; IWL comparison. The comparison column should state exactly what matches and what does not.</w:t>
      </w:r>
    </w:p>
    <w:p>
      <w:pPr>
        <w:pStyle w:val="Heading1"/>
      </w:pPr>
      <w:r>
        <w:t>7. APOLLO, DIONYSUS &amp; COMPETING FORMS OF RULE</w:t>
      </w:r>
    </w:p>
    <w:p>
      <w:r>
        <w:t>The Rush/Hemispheres work supplies a cleaner mythology case: Apollo represents reason/order and Dionysus feeling/desire, while Cygnus resolves the conflict through balance.</w:t>
      </w:r>
    </w:p>
    <w:p>
      <w:r>
        <w:t>This creates a political-religious IWL question broader than party politics: when a system offers only two incomplete poles, does the conflict itself become the mechanism of control? The relevant investigation is into symbolic structure—not a claim that contemporary actors literally worship either deity.</w:t>
      </w:r>
    </w:p>
    <w:p>
      <w:r>
        <w:t>A separate research lane should examine modern uses of Apollo symbolism, monuments, architecture and esoteric references only where documentary evidence exists.</w:t>
      </w:r>
    </w:p>
    <w:p>
      <w:pPr>
        <w:pStyle w:val="Heading1"/>
      </w:pPr>
      <w:r>
        <w:t>8. ZOHAR, KABBALAH &amp; POLITICAL SYMBOLISM</w:t>
      </w:r>
    </w:p>
    <w:p>
      <w:r>
        <w:t>Prior discussion raised the Zohar and claims involving public figures. This topic requires unusually strict sourcing.</w:t>
      </w:r>
    </w:p>
    <w:p>
      <w:r>
        <w:t>The Zohar is a foundational body of Kabbalistic literature. The website should first explain what it is, when it emerged historically, and what symbols or concepts actually belong to it. Only then should photographs, objects, statements or reported affiliations involving contemporary figures be examined.</w:t>
      </w:r>
    </w:p>
    <w:p>
      <w:r>
        <w:t>Rule: an object, gesture, color, necklace, photograph or visual resemblance does not establish religious adherence. Publish only what can be documented; place symbolic interpretation in a clearly marked hypothesis box.</w:t>
      </w:r>
    </w:p>
    <w:p>
      <w:pPr>
        <w:pStyle w:val="Heading1"/>
      </w:pPr>
      <w:r>
        <w:t>9. PROBLEM → REACTION → SOLUTION</w:t>
      </w:r>
    </w:p>
    <w:p>
      <w:r>
        <w:t>This political mechanism became a recurring IWL lens and is especially useful because it can be tested without requiring a hidden-mastermind assumption.</w:t>
      </w:r>
    </w:p>
    <w:p>
      <w:r>
        <w:t>The pattern: a crisis or perceived crisis creates fear and demand; the reaction narrows acceptable choices; a proposed solution expands authority or introduces a structure that would have met resistance under ordinary conditions.</w:t>
      </w:r>
    </w:p>
    <w:p>
      <w:r>
        <w:t>“Won’t Get Fooled Again” became a natural cultural comparison: revolution can replace one ruler with another while the governing mechanism survives. Website investigations should test individual historical cases rather than asserting that every crisis was manufactured.</w:t>
      </w:r>
    </w:p>
    <w:p>
      <w:pPr>
        <w:pStyle w:val="Heading1"/>
      </w:pPr>
      <w:r>
        <w:t>10. FASCISM, LEFT/RIGHT LABELS &amp; POWER</w:t>
      </w:r>
    </w:p>
    <w:p>
      <w:r>
        <w:t>A prior investigation asked for fascism to be examined through the left/right political frame, including discussion of George Soros.</w:t>
      </w:r>
    </w:p>
    <w:p>
      <w:r>
        <w:t>For publication, the stronger question is structural: which features define fascism historically, which authoritarian techniques can appear outside fascist movements, and when do political labels conceal rather than clarify the mechanism being studied?</w:t>
      </w:r>
    </w:p>
    <w:p>
      <w:r>
        <w:t>Named individuals should be handled through documented actions, funding, institutions and statements—not internet association chains. The IWL lens should compare methods of power: propaganda, scapegoating, emergency authority, censorship, mass mobilization, corporate-state relationships and leader mythology.</w:t>
      </w:r>
    </w:p>
    <w:p>
      <w:pPr>
        <w:pStyle w:val="Heading1"/>
      </w:pPr>
      <w:r>
        <w:t>11. NATIONALISM, MAGA &amp; SYMBOLIC RECRUITMENT</w:t>
      </w:r>
    </w:p>
    <w:p>
      <w:r>
        <w:t>MAGA has appeared in the project both as contemporary political language and as a possible symbolic echo inside broader apocalyptic/magical readings.</w:t>
      </w:r>
    </w:p>
    <w:p>
      <w:r>
        <w:t>These must be separated. MAGA is a documented political slogan and movement identifier. Any connection to Magog, magic, guards, ancient names or occult language is a linguistic/symbolic hypothesis unless independent historical evidence establishes a relationship.</w:t>
      </w:r>
    </w:p>
    <w:p>
      <w:r>
        <w:t>The more productive IWL investigation is how slogans recruit identity: compressing complex political programs into emotionally loaded symbols, defining an in-group and out-group, and converting political choice into belonging.</w:t>
      </w:r>
    </w:p>
    <w:p>
      <w:pPr>
        <w:pStyle w:val="Heading1"/>
      </w:pPr>
      <w:r>
        <w:t>12. MIGRATION, TRADE ROUTES &amp; RELIGIOUS TRANSMISSION</w:t>
      </w:r>
    </w:p>
    <w:p>
      <w:r>
        <w:t>The project identified ancient trade routes as potentially central to understanding how stories, gods, symbols, technologies and political models move between civilizations.</w:t>
      </w:r>
    </w:p>
    <w:p>
      <w:r>
        <w:t>This is a historical research lane with real explanatory value. Map Mesopotamia, the Levant, Egypt, Anatolia, Persia, Greece and later imperial networks. Track movement of texts, motifs, astronomical knowledge, cult practice, law, commerce and conquest.</w:t>
      </w:r>
    </w:p>
    <w:p>
      <w:r>
        <w:t>The IWL question is whether apparent “same story” phenomena require supernatural or coordinated explanations at all, or whether ordinary transmission, adaptation and empire explain part of the recurrence. This lane can therefore strengthen the investigation by eliminating weak mysteries.</w:t>
      </w:r>
    </w:p>
    <w:p>
      <w:pPr>
        <w:pStyle w:val="Heading1"/>
      </w:pPr>
      <w:r>
        <w:t>13. ADVANCED-BEING / ALIEN-WARLORD HYPOTHESIS</w:t>
      </w:r>
    </w:p>
    <w:p>
      <w:r>
        <w:t>The project also uses an intentionally aggressive speculative model: what would the evidence look like if an advanced non-human power had shaped religion, hierarchy or human behavior?</w:t>
      </w:r>
    </w:p>
    <w:p>
      <w:r>
        <w:t>This belongs in a clearly marked HYPOTHESIS / FICTIONAL-EXTENSION lane. It can be used as a stress test against the evidence—especially ancient “gods,” sky beings, engineered humanity, forbidden knowledge, sacrifice and sanctuary—but must never be presented as established history without evidence capable of supporting that claim.</w:t>
      </w:r>
    </w:p>
    <w:p>
      <w:r>
        <w:t>Its value is methodological: a hypothesis is allowed to make predictions, but it must also be allowed to fail.</w:t>
      </w:r>
    </w:p>
    <w:p>
      <w:pPr>
        <w:pStyle w:val="Heading1"/>
      </w:pPr>
      <w:r>
        <w:t>14. ELOHIM / ELON &amp; MODERN NAME CONVERGENCES</w:t>
      </w:r>
    </w:p>
    <w:p>
      <w:r>
        <w:t>The project has explored name and sound convergences such as Elohim/Elon and Kanye/Yeshua.</w:t>
      </w:r>
    </w:p>
    <w:p>
      <w:r>
        <w:t>These are candidate symbolic observations only. Similar phonetics are common and cannot establish lineage, intent, code or coordination. A responsible website entry can still catalog the convergence, document the actual etymologies and ask why certain ancient names remain culturally resonant.</w:t>
      </w:r>
    </w:p>
    <w:p>
      <w:r>
        <w:t>This section should function as a demonstration of IWL discipline: interesting enough to investigate; insufficient to conclude.</w:t>
      </w:r>
    </w:p>
    <w:p>
      <w:pPr>
        <w:pStyle w:val="Heading1"/>
      </w:pPr>
      <w:r>
        <w:t>15. RAELIANS, CLONING, BRAIN INTERFACES &amp; CREATED GODS</w:t>
      </w:r>
    </w:p>
    <w:p>
      <w:r>
        <w:t>Raelian ideas entered the investigation because they explicitly reinterpret “Elohim” as technologically advanced extraterrestrials and connect creation narratives with advanced science.</w:t>
      </w:r>
    </w:p>
    <w:p>
      <w:r>
        <w:t>This provides a documented modern belief system that can be compared with the IWL advanced-being hypothesis without treating the belief as proof. Separate what Raelian sources claim from what genetics, cloning and brain-interface technology can actually demonstrate.</w:t>
      </w:r>
    </w:p>
    <w:p>
      <w:r>
        <w:t>The key IWL question is cultural: when technology acquires powers once assigned to gods—creation, surveillance, memory alteration, synthetic life—does ancient religious language become newly persuasive as metaphor?</w:t>
      </w:r>
    </w:p>
    <w:p>
      <w:pPr>
        <w:pStyle w:val="Heading1"/>
      </w:pPr>
      <w:r>
        <w:t>16. ONE EYE, PANOPTICON &amp; THE OBSERVER</w:t>
      </w:r>
    </w:p>
    <w:p>
      <w:r>
        <w:t>The One-Eye investigation crosses religious, political and musical material.</w:t>
      </w:r>
    </w:p>
    <w:p>
      <w:r>
        <w:t>At its strongest, the symbol points toward surveillance, asymmetrical knowledge and authority: the observer can see while remaining unseen. The panopticon supplies a documented political/philosophical model in which the possibility of observation changes behavior even when the observer is absent.</w:t>
      </w:r>
    </w:p>
    <w:p>
      <w:r>
        <w:t>IWL work should distinguish ancient eye symbolism, providence imagery, occult/esoteric uses, commercial imagery and ordinary artistic composition. Recurrence is a catalog finding; common origin requires additional evidence.</w:t>
      </w:r>
    </w:p>
    <w:p>
      <w:pPr>
        <w:pStyle w:val="Heading1"/>
      </w:pPr>
      <w:r>
        <w:t>17. CONTRACT, SOUL-SALE &amp; INSTITUTIONAL SUBMISSION</w:t>
      </w:r>
    </w:p>
    <w:p>
      <w:r>
        <w:t>The “Devil’s Den” work reframed “selling your soul” as a potentially literal institutional metaphor: the contract comes before the artist’s opinion.</w:t>
      </w:r>
    </w:p>
    <w:p>
      <w:r>
        <w:t>Religiously, soul-sale stories invoke temptation, exchange and surrender. Politically/economically, contracts can transfer control over labor, image, recordings, publishing or speech. These two layers can be compared without claiming supernatural enforcement.</w:t>
      </w:r>
    </w:p>
    <w:p>
      <w:r>
        <w:t>This is an important bridge between religious symbolism and real-world power because the documentary side—contracts, ownership, censorship, label control, financial dependency—can be investigated directly.</w:t>
      </w:r>
    </w:p>
    <w:p>
      <w:pPr>
        <w:pStyle w:val="Heading1"/>
      </w:pPr>
      <w:r>
        <w:t>18. CURRENT EVENTS VS. OLD TEXTS AND LYRICS</w:t>
      </w:r>
    </w:p>
    <w:p>
      <w:r>
        <w:t>One of the most provocative IWL questions is why older religious texts, songs and cultural artifacts can appear to describe later events.</w:t>
      </w:r>
    </w:p>
    <w:p>
      <w:r>
        <w:t>The website must test at least four explanations before invoking prediction: broad archetypal language; selective memory/cherry-picking; recurring political behavior; and genuine specific correspondence. Dates matter. Exact wording matters. Failed predictions matter.</w:t>
      </w:r>
    </w:p>
    <w:p>
      <w:r>
        <w:t>A credible “convergence” entry should therefore include publication date, the pre-event text, the later event, specificity score, alternative explanations and contradictions.</w:t>
      </w:r>
    </w:p>
    <w:p>
      <w:pPr>
        <w:pStyle w:val="Heading1"/>
      </w:pPr>
      <w:r>
        <w:t>19. THE UNKNOWN HAND</w:t>
      </w:r>
    </w:p>
    <w:p>
      <w:r>
        <w:t>The Unknown Hand is a finding category, not an identity claim.</w:t>
      </w:r>
    </w:p>
    <w:p>
      <w:r>
        <w:t>It marks a recurring apparent operation—authority or influence that may be visible through outcomes while its identity, origin, ontology or intent remains unresolved. Saying “Unknown Hand” must not silently become “government,” “religion,” “Satan,” “aliens,” “intelligence agencies,” “corporations” or any other preferred culprit.</w:t>
      </w:r>
    </w:p>
    <w:p>
      <w:r>
        <w:t>That restraint is what permits the investigation to remain open while still naming the pattern being investigated.</w:t>
      </w:r>
    </w:p>
    <w:p>
      <w:pPr>
        <w:pStyle w:val="Heading1"/>
      </w:pPr>
      <w:r>
        <w:t>20. WEBSITE PUBLISHING MODEL</w:t>
      </w:r>
    </w:p>
    <w:p>
      <w:r>
        <w:t>Recommended structure for every political/religious investigation:</w:t>
      </w:r>
    </w:p>
    <w:p>
      <w:r>
        <w:t>1. THE QUESTION — the narrow proposition being tested.</w:t>
        <w:br/>
        <w:t>2. THE RECORD — dated primary or high-quality historical evidence.</w:t>
        <w:br/>
        <w:t>3. WHAT IS ESTABLISHED — facts that survive sourcing.</w:t>
        <w:br/>
        <w:t>4. THE IWL READ — the symbolic or structural interpretation.</w:t>
        <w:br/>
        <w:t>5. ALTERNATIVE EXPLANATIONS — ordinary mechanisms that could produce the same appearance.</w:t>
        <w:br/>
        <w:t>6. CONTRADICTIONS / FAILED PARALLELS — evidence against the favored reading.</w:t>
        <w:br/>
        <w:t>7. STATUS — established, developing, candidate, contradicted, or fictional extension.</w:t>
        <w:br/>
        <w:t>8. WHAT WOULD CHANGE THE FINDING — the evidence needed to strengthen or kill the hypothesis.</w:t>
      </w:r>
    </w:p>
    <w:p>
      <w:r>
        <w:t>The objective is not to make the strangest theory win. It is to let difficult theories compete under the same evidentiary rules.</w:t>
      </w:r>
    </w:p>
    <w:p>
      <w:pPr>
        <w:pStyle w:val="Heading1"/>
      </w:pPr>
      <w:r>
        <w:t>Master Investigative Principle</w:t>
      </w:r>
    </w:p>
    <w:p>
      <w:r>
        <w:rPr>
          <w:b/>
        </w:rPr>
        <w:t xml:space="preserve">Investigate the conspiracy when the evidence warrants an investigation. </w:t>
      </w:r>
      <w:r>
        <w:t>Do not protect a conventional explanation merely because it is conventional, and do not protect an extraordinary explanation merely because it is compelling. Separate evidence, inference, hypothesis, contradiction and established fact. The reader should always be able to see which is which.</w:t>
      </w:r>
    </w:p>
    <w:p>
      <w:pPr>
        <w:pStyle w:val="Heading1"/>
      </w:pPr>
      <w:r>
        <w:t>Proposed Website Hub</w:t>
      </w:r>
    </w:p>
    <w:p>
      <w:r>
        <w:t>Suggested hub title: POLITICS, RELIGION &amp; THE CONTROL SYSTEM. This can sit beside the music forensics rather than inside a party-politics section. Its purpose is to investigate the ancient and modern mechanisms that the music cases repeatedly touch: authority, belief, contract, sacrifice, surveillance, identity, propaganda, apocalypse, sanctuary and submission.</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